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bookmarkStart w:id="0" w:name="_GoBack"/>
            <w:bookmarkEnd w:id="0"/>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BARTHELEMY</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063EDE" w:rsidP="009B4B87">
      <w:pPr>
        <w:jc w:val="both"/>
        <w:rPr>
          <w:rFonts w:asciiTheme="minorHAnsi" w:hAnsiTheme="minorHAnsi" w:cstheme="minorHAnsi"/>
          <w:sz w:val="20"/>
        </w:rPr>
      </w:pPr>
    </w:p>
    <w:p w:rsidR="009B4B87" w:rsidRPr="0035053F"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mardi 2 mars 2021</w:t>
      </w:r>
    </w:p>
    <w:p w:rsidRPr="0035053F" w:rsidP="001348F6">
      <w:pPr>
        <w:rPr>
          <w:rFonts w:asciiTheme="minorHAnsi" w:hAnsiTheme="minorHAnsi" w:cstheme="minorHAnsi"/>
          <w:sz w:val="20"/>
        </w:rPr>
      </w:pPr>
      <w:r w:rsidRPr="0035053F" w:rsidR="00E8145C">
        <w:rPr>
          <w:rFonts w:asciiTheme="minorHAnsi" w:hAnsiTheme="minorHAnsi" w:cstheme="minorHAnsi"/>
          <w:sz w:val="20"/>
        </w:rPr>
        <w:t>de 08h30 à 12h30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13 au 15, 19 au 27, 14 au 18, 22 au 26, 30 au 36, 19B rue DE LA GARE</w:t>
      </w:r>
    </w:p>
    <w:p w:rsidRPr="0035053F" w:rsidP="001348F6">
      <w:pPr>
        <w:rPr>
          <w:rFonts w:asciiTheme="minorHAnsi" w:hAnsiTheme="minorHAnsi" w:cstheme="minorHAnsi"/>
          <w:sz w:val="20"/>
        </w:rPr>
      </w:pPr>
      <w:r w:rsidRPr="0035053F" w:rsidR="00E8145C">
        <w:rPr>
          <w:rFonts w:asciiTheme="minorHAnsi" w:hAnsiTheme="minorHAnsi" w:cstheme="minorHAnsi"/>
          <w:sz w:val="20"/>
        </w:rPr>
        <w:t>GUERNIC</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3, 2 au 6, 10 au 12 LE VIEUX BOURG</w:t>
      </w:r>
    </w:p>
    <w:p w:rsidRPr="0035053F" w:rsidP="001348F6">
      <w:pPr>
        <w:rPr>
          <w:rFonts w:asciiTheme="minorHAnsi" w:hAnsiTheme="minorHAnsi" w:cstheme="minorHAnsi"/>
          <w:sz w:val="20"/>
        </w:rPr>
      </w:pPr>
      <w:r w:rsidRPr="0035053F" w:rsidR="00E8145C">
        <w:rPr>
          <w:rFonts w:asciiTheme="minorHAnsi" w:hAnsiTheme="minorHAnsi" w:cstheme="minorHAnsi"/>
          <w:sz w:val="20"/>
        </w:rPr>
        <w:t>1 au 3, 7, 4 au 8, 12, 16 rue DE LA FONTAINE</w:t>
      </w:r>
    </w:p>
    <w:p w:rsidRPr="0035053F" w:rsidP="001348F6">
      <w:pPr>
        <w:rPr>
          <w:rFonts w:asciiTheme="minorHAnsi" w:hAnsiTheme="minorHAnsi" w:cstheme="minorHAnsi"/>
          <w:sz w:val="20"/>
        </w:rPr>
      </w:pPr>
      <w:r w:rsidRPr="0035053F" w:rsidR="00E8145C">
        <w:rPr>
          <w:rFonts w:asciiTheme="minorHAnsi" w:hAnsiTheme="minorHAnsi" w:cstheme="minorHAnsi"/>
          <w:sz w:val="20"/>
        </w:rPr>
        <w:t>6 rue DES MESANGES</w:t>
      </w:r>
    </w:p>
    <w:p w:rsidRPr="0035053F" w:rsidP="001348F6">
      <w:pPr>
        <w:rPr>
          <w:rFonts w:asciiTheme="minorHAnsi" w:hAnsiTheme="minorHAnsi" w:cstheme="minorHAnsi"/>
          <w:sz w:val="20"/>
        </w:rPr>
      </w:pPr>
      <w:r w:rsidRPr="0035053F" w:rsidR="00E8145C">
        <w:rPr>
          <w:rFonts w:asciiTheme="minorHAnsi" w:hAnsiTheme="minorHAnsi" w:cstheme="minorHAnsi"/>
          <w:sz w:val="20"/>
        </w:rPr>
        <w:t>LANN GOUTER</w:t>
      </w:r>
    </w:p>
    <w:p w:rsidRPr="0035053F" w:rsidP="001348F6">
      <w:pPr>
        <w:rPr>
          <w:rFonts w:asciiTheme="minorHAnsi" w:hAnsiTheme="minorHAnsi" w:cstheme="minorHAnsi"/>
          <w:sz w:val="20"/>
        </w:rPr>
      </w:pPr>
      <w:r w:rsidRPr="0035053F" w:rsidR="00E8145C">
        <w:rPr>
          <w:rFonts w:asciiTheme="minorHAnsi" w:hAnsiTheme="minorHAnsi" w:cstheme="minorHAnsi"/>
          <w:sz w:val="20"/>
        </w:rPr>
        <w:t>LES SAULES</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Enedis Service Clients</w:t>
          </w:r>
        </w:p>
        <w:p w:rsidR="004754EE" w:rsidRPr="004754EE" w:rsidP="004754EE">
          <w:pPr>
            <w:pStyle w:val="06Pieddepage"/>
            <w:widowControl/>
            <w:ind w:left="0"/>
            <w:rPr>
              <w:rFonts w:cs="Calibri"/>
              <w:color w:val="005EB8"/>
            </w:rPr>
          </w:pPr>
          <w:r w:rsidRPr="004754EE">
            <w:rPr>
              <w:rFonts w:cs="Calibri"/>
              <w:color w:val="005EB8"/>
            </w:rPr>
            <w:t>CS 45582</w:t>
          </w:r>
        </w:p>
        <w:p w:rsidR="004754EE" w:rsidRPr="004754EE" w:rsidP="004754EE">
          <w:pPr>
            <w:pStyle w:val="06Pieddepage"/>
            <w:widowControl/>
            <w:ind w:left="0"/>
            <w:rPr>
              <w:rFonts w:cs="Calibri"/>
              <w:color w:val="005EB8"/>
            </w:rPr>
          </w:pPr>
          <w:r w:rsidRPr="004754EE">
            <w:rPr>
              <w:rFonts w:cs="Calibri"/>
              <w:color w:val="005EB8"/>
            </w:rPr>
            <w:t>56855</w:t>
          </w:r>
          <w:r w:rsidRPr="004754EE">
            <w:rPr>
              <w:rFonts w:cs="Calibri"/>
              <w:color w:val="005EB8"/>
            </w:rPr>
            <w:t xml:space="preserve">  </w:t>
          </w:r>
          <w:r w:rsidRPr="004754EE">
            <w:rPr>
              <w:rFonts w:cs="Calibri"/>
              <w:color w:val="005EB8"/>
            </w:rPr>
            <w:t>CAUDAN CEDEX</w:t>
          </w:r>
        </w:p>
        <w:p w:rsidR="004754EE" w:rsidRPr="004754EE" w:rsidP="004754EE">
          <w:pPr>
            <w:pStyle w:val="06Pieddepage"/>
            <w:widowControl/>
            <w:ind w:left="0"/>
            <w:rPr>
              <w:rFonts w:cs="Calibri"/>
              <w:color w:val="005EB8"/>
            </w:rPr>
          </w:pPr>
          <w:r w:rsidRPr="004754EE">
            <w:rPr>
              <w:rFonts w:cs="Calibri"/>
              <w:color w:val="005EB8"/>
            </w:rPr>
            <w:t xml:space="preserve">Tél. : </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 Tour Enedis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V1.6 version Recommandation MNE 20201019.dotx</Template>
  <TotalTime>0</TotalTime>
  <Pages>1</Pages>
  <Words>89</Words>
  <Characters>492</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GAIA Eric</cp:lastModifiedBy>
  <cp:revision>2</cp:revision>
  <cp:lastPrinted>2008-01-22T14:24:00Z</cp:lastPrinted>
  <dcterms:created xsi:type="dcterms:W3CDTF">2020-10-26T15:37:00Z</dcterms:created>
  <dcterms:modified xsi:type="dcterms:W3CDTF">2020-10-26T15:37:00Z</dcterms:modified>
</cp:coreProperties>
</file>